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adjustRightInd w:val="0"/>
        <w:jc w:val="both"/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1"/>
          <w:szCs w:val="31"/>
          <w:highlight w:val="none"/>
          <w:lang w:val="en-US" w:eastAsia="zh-CN"/>
        </w:rPr>
        <w:t>附件3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宋体" w:eastAsia="仿宋_GB2312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  <w:highlight w:val="none"/>
          <w:lang w:val="en-US" w:eastAsia="zh-CN"/>
        </w:rPr>
        <w:t>竞</w:t>
      </w:r>
      <w:r>
        <w:rPr>
          <w:rFonts w:hint="eastAsia" w:ascii="仿宋_GB2312" w:hAnsi="宋体" w:eastAsia="仿宋_GB2312"/>
          <w:b/>
          <w:bCs/>
          <w:color w:val="000000"/>
          <w:sz w:val="36"/>
          <w:szCs w:val="36"/>
          <w:highlight w:val="none"/>
        </w:rPr>
        <w:t>价响应人承诺函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石棉宇鸿沥青混凝土有限公司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我公司自愿参加你公司组织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的石棉县客运枢纽中心建设项目沥青砼运输服务竞价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活动，作为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价响应人，我公司承诺如下：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1、完全理解、同意并接受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相关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价文件的一切规定和要求。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2、无论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与否，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因本次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竞价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所发生的一切费用，由我公司自行承担。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3、若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，本承诺函将成为合同不可分割的一部分，与合同具有同等的法律效力。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4、我方完全理解你方不保证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价报价最低的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成交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，也不需解释原因。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5、我方保证将按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价文件的规定履行责任和义务。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6、近三年来无违法违约行为，如有不实，我公司愿意承担由此引起的一切法律责任。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7、在参加本次竞价中，不存在与单位负责人为同一人或者存在直接控股、管理关系的其他竞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参与同一合同项下的竞价活动的行为。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8、在参加本次竞价中，不存在和其他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在同一合同项下的竞价项目中，同时委托同一个自然人、同一家庭的人员、同一单位的人员作为代理人的行为。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/>
        <w:textAlignment w:val="auto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9、不存在同一母公司的两家以上的子公司，以不同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身份同时参加本项目同一合同项下的竞价活动的情形。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 xml:space="preserve">       </w:t>
      </w:r>
    </w:p>
    <w:p>
      <w:pPr>
        <w:autoSpaceDE w:val="0"/>
        <w:autoSpaceDN w:val="0"/>
        <w:adjustRightInd w:val="0"/>
        <w:ind w:firstLine="1680" w:firstLineChars="600"/>
        <w:jc w:val="left"/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竞价响应人：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u w:val="single"/>
        </w:rPr>
        <w:t xml:space="preserve">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 xml:space="preserve"> (单位名称盖章)</w:t>
      </w:r>
    </w:p>
    <w:p>
      <w:pPr>
        <w:autoSpaceDE w:val="0"/>
        <w:autoSpaceDN w:val="0"/>
        <w:adjustRightInd w:val="0"/>
        <w:ind w:firstLine="2240" w:firstLineChars="800"/>
        <w:jc w:val="left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法定代表人或其委托代理人：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 xml:space="preserve"> (签字)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 xml:space="preserve">                                        </w:t>
      </w:r>
    </w:p>
    <w:p>
      <w:pPr>
        <w:ind w:firstLine="4800" w:firstLineChars="1500"/>
        <w:rPr>
          <w:highlight w:val="non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日期：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GJjMDNkOWMzNjJmNjg3Y2JlNTM5OTU4N2UwNjIifQ=="/>
  </w:docVars>
  <w:rsids>
    <w:rsidRoot w:val="1B2E1A03"/>
    <w:rsid w:val="02DD6AB2"/>
    <w:rsid w:val="0F715D5C"/>
    <w:rsid w:val="1376163C"/>
    <w:rsid w:val="1B2E1A03"/>
    <w:rsid w:val="21DD67EE"/>
    <w:rsid w:val="25F83F53"/>
    <w:rsid w:val="317E11A9"/>
    <w:rsid w:val="3439306A"/>
    <w:rsid w:val="34961199"/>
    <w:rsid w:val="3ACD19F2"/>
    <w:rsid w:val="3B880B9F"/>
    <w:rsid w:val="3D001030"/>
    <w:rsid w:val="4E400A5C"/>
    <w:rsid w:val="50AD3D10"/>
    <w:rsid w:val="64CF74C3"/>
    <w:rsid w:val="7DF0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表格文字"/>
    <w:basedOn w:val="1"/>
    <w:next w:val="3"/>
    <w:qFormat/>
    <w:uiPriority w:val="99"/>
    <w:pPr>
      <w:jc w:val="left"/>
    </w:pPr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548</Characters>
  <Lines>0</Lines>
  <Paragraphs>0</Paragraphs>
  <TotalTime>1</TotalTime>
  <ScaleCrop>false</ScaleCrop>
  <LinksUpToDate>false</LinksUpToDate>
  <CharactersWithSpaces>640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2022-08-30T08:06:00Z</dcterms:created>
  <dc:creator>卓『超』</dc:creator>
  <cp:lastModifiedBy>Administrator</cp:lastModifiedBy>
  <dcterms:modified xsi:type="dcterms:W3CDTF">2024-02-29T05:19:22Z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F8635C45DA0C4A919D3C27D0BDDCD6A4_13</vt:lpwstr>
  </property>
</Properties>
</file>